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2E" w:rsidRDefault="00CF7DEB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DECLARAÇÃO DO REPRESENTANTE LEGAL DA OSC DE INEXISTÊNCIA DE IMPEDIMENTO À CELEBRAÇÃO DA PARCERIA</w:t>
      </w:r>
    </w:p>
    <w:p w:rsidR="00E73C2E" w:rsidRDefault="00E73C2E">
      <w:pPr>
        <w:pStyle w:val="Standard"/>
        <w:spacing w:line="360" w:lineRule="auto"/>
        <w:jc w:val="center"/>
        <w:rPr>
          <w:rFonts w:cs="Calibri"/>
          <w:color w:val="FF0000"/>
          <w:sz w:val="24"/>
          <w:szCs w:val="24"/>
        </w:rPr>
      </w:pPr>
    </w:p>
    <w:p w:rsidR="00E73C2E" w:rsidRDefault="00CF7DEB">
      <w:pPr>
        <w:pStyle w:val="Standard"/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LOCAL, DATA</w:t>
      </w:r>
    </w:p>
    <w:p w:rsidR="00E73C2E" w:rsidRDefault="00E73C2E">
      <w:pPr>
        <w:pStyle w:val="Standard"/>
        <w:spacing w:line="360" w:lineRule="auto"/>
        <w:ind w:firstLine="567"/>
        <w:rPr>
          <w:rFonts w:cs="Calibri"/>
          <w:sz w:val="24"/>
          <w:szCs w:val="24"/>
        </w:rPr>
      </w:pPr>
    </w:p>
    <w:p w:rsidR="00E73C2E" w:rsidRDefault="00CF7DEB">
      <w:pPr>
        <w:pStyle w:val="Standard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À Secretaria de Municipal de ____________________________</w:t>
      </w:r>
    </w:p>
    <w:p w:rsidR="00E73C2E" w:rsidRDefault="00E73C2E">
      <w:pPr>
        <w:pStyle w:val="Standard"/>
        <w:spacing w:line="360" w:lineRule="auto"/>
        <w:ind w:firstLine="567"/>
        <w:jc w:val="center"/>
        <w:rPr>
          <w:rFonts w:cs="Calibri"/>
          <w:b/>
          <w:sz w:val="24"/>
          <w:szCs w:val="24"/>
        </w:rPr>
      </w:pPr>
    </w:p>
    <w:p w:rsidR="00E73C2E" w:rsidRDefault="00CF7DEB">
      <w:pPr>
        <w:pStyle w:val="Textbody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Senhor Secretário(a):</w:t>
      </w:r>
    </w:p>
    <w:p w:rsidR="00E73C2E" w:rsidRDefault="00E73C2E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CF7DEB">
      <w:pPr>
        <w:pStyle w:val="padro"/>
        <w:spacing w:before="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Eu </w:t>
      </w:r>
      <w:r>
        <w:rPr>
          <w:rFonts w:cs="Calibri"/>
          <w:sz w:val="24"/>
          <w:szCs w:val="24"/>
        </w:rPr>
        <w:t>........................., portador da Carteira de Identidade n.º .............. expedida por ...................... em ....../....../......, representante legal da Organização da Sociedade Civil ................... DECLARO, para os devidos fins de direito</w:t>
      </w:r>
      <w:r>
        <w:rPr>
          <w:rFonts w:cs="Calibri"/>
          <w:sz w:val="24"/>
          <w:szCs w:val="24"/>
        </w:rPr>
        <w:t>, sob as penas da lei, que a OSC por mim representada cumpre plenamente os requisitos definidos pelo Decreto nº 2.509/2018 e pela emenda parlamentar para ampliação do centro tradicionalista, para a celebração do Termo de Fomento: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I – </w:t>
      </w:r>
      <w:proofErr w:type="gramStart"/>
      <w:r>
        <w:rPr>
          <w:rFonts w:cs="Calibri"/>
          <w:sz w:val="24"/>
          <w:szCs w:val="24"/>
        </w:rPr>
        <w:t>não</w:t>
      </w:r>
      <w:proofErr w:type="gramEnd"/>
      <w:r>
        <w:rPr>
          <w:rFonts w:cs="Calibri"/>
          <w:sz w:val="24"/>
          <w:szCs w:val="24"/>
        </w:rPr>
        <w:t xml:space="preserve"> está suspensa de</w:t>
      </w:r>
      <w:r>
        <w:rPr>
          <w:rFonts w:cs="Calibri"/>
          <w:sz w:val="24"/>
          <w:szCs w:val="24"/>
        </w:rPr>
        <w:t xml:space="preserve"> participar de licitação, nem impedida de contratar com a administração;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II – </w:t>
      </w:r>
      <w:proofErr w:type="gramStart"/>
      <w:r>
        <w:rPr>
          <w:rFonts w:cs="Calibri"/>
          <w:sz w:val="24"/>
          <w:szCs w:val="24"/>
        </w:rPr>
        <w:t>não</w:t>
      </w:r>
      <w:proofErr w:type="gramEnd"/>
      <w:r>
        <w:rPr>
          <w:rFonts w:cs="Calibri"/>
          <w:sz w:val="24"/>
          <w:szCs w:val="24"/>
        </w:rPr>
        <w:t xml:space="preserve"> está declarada inidoneidade para licitar ou contratar com a Administração Pública;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III – não está suspensa temporariamente da participação em chamamento público nem imped</w:t>
      </w:r>
      <w:r>
        <w:rPr>
          <w:rFonts w:cs="Calibri"/>
          <w:sz w:val="24"/>
          <w:szCs w:val="24"/>
        </w:rPr>
        <w:t>ida de celebrar parceria ou contrato com órgãos e entidades do Município de Coronel Barros;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IV – </w:t>
      </w:r>
      <w:proofErr w:type="gramStart"/>
      <w:r>
        <w:rPr>
          <w:rFonts w:cs="Calibri"/>
          <w:sz w:val="24"/>
          <w:szCs w:val="24"/>
        </w:rPr>
        <w:t>não</w:t>
      </w:r>
      <w:proofErr w:type="gramEnd"/>
      <w:r>
        <w:rPr>
          <w:rFonts w:cs="Calibri"/>
          <w:sz w:val="24"/>
          <w:szCs w:val="24"/>
        </w:rPr>
        <w:t xml:space="preserve"> está declarada inidônea para participar de chamamento público ou celebrar parceria ou contrato com órgãos e entidades de todas as esferas de governo;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V – </w:t>
      </w:r>
      <w:proofErr w:type="gramStart"/>
      <w:r>
        <w:rPr>
          <w:rFonts w:cs="Calibri"/>
          <w:sz w:val="24"/>
          <w:szCs w:val="24"/>
        </w:rPr>
        <w:t>não</w:t>
      </w:r>
      <w:proofErr w:type="gramEnd"/>
      <w:r>
        <w:rPr>
          <w:rFonts w:cs="Calibri"/>
          <w:sz w:val="24"/>
          <w:szCs w:val="24"/>
        </w:rPr>
        <w:t xml:space="preserve"> possui contas de parcerias anteriores rejeitadas pela Administração Pública nos últimos cinco anos;</w:t>
      </w:r>
    </w:p>
    <w:p w:rsidR="00E73C2E" w:rsidRDefault="00CF7DEB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VI – não tem contas de parceria julgadas irregulares ou rejeitadas por Tribunal ou Conselho de Contas de qualquer esfera da Federação, em decisão </w:t>
      </w:r>
      <w:r>
        <w:rPr>
          <w:rFonts w:cs="Calibri"/>
          <w:sz w:val="24"/>
          <w:szCs w:val="24"/>
        </w:rPr>
        <w:t>irrecorrível, nos últimos 8 (oito) anos;</w:t>
      </w:r>
    </w:p>
    <w:p w:rsidR="00E73C2E" w:rsidRDefault="00CF7DEB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  <w:bookmarkStart w:id="1" w:name="art39vii"/>
      <w:bookmarkEnd w:id="1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VII – não está omissa no dever de prestar contas de parceria anteriormente celebrada;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VIII – não possui, entre seus dirigentes, pessoas: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a) cujas contas relativas a parcerias tenham sido julgadas irregulares o</w:t>
      </w:r>
      <w:r>
        <w:rPr>
          <w:rFonts w:cs="Calibri"/>
          <w:sz w:val="24"/>
          <w:szCs w:val="24"/>
        </w:rPr>
        <w:t>u rejeitadas por Tribunal ou Conselho de Contas de qualquer esfera da Federação, em decisão irrecorrível, nos últimos 8 (oito) anos;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bookmarkStart w:id="2" w:name="art39viib"/>
      <w:bookmarkEnd w:id="2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julgadas responsáveis por falta grave e inabilitadas para exercício de cargo em comissão ou função de confiança;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c) </w:t>
      </w:r>
      <w:r>
        <w:rPr>
          <w:rFonts w:cs="Calibri"/>
          <w:sz w:val="24"/>
          <w:szCs w:val="24"/>
        </w:rPr>
        <w:t>consideradas culpadas por ato de improbidade, nos termos da Lei n</w:t>
      </w:r>
      <w:r>
        <w:rPr>
          <w:rFonts w:cs="Calibri"/>
          <w:sz w:val="24"/>
          <w:szCs w:val="24"/>
          <w:vertAlign w:val="superscript"/>
        </w:rPr>
        <w:t>o</w:t>
      </w:r>
      <w:r>
        <w:rPr>
          <w:rStyle w:val="apple-converted-space"/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8.429, de 2 de junho de 1992;</w:t>
      </w:r>
    </w:p>
    <w:p w:rsidR="00E73C2E" w:rsidRDefault="00CF7DEB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tab/>
        <w:t xml:space="preserve">d) membro de Poder ou do Ministério Público, ou dirigente de órgão ou entidade da Administração Pública do Município de Coronel Barros, nem seus respectivos </w:t>
      </w:r>
      <w:r>
        <w:rPr>
          <w:rFonts w:cs="Calibri"/>
          <w:sz w:val="24"/>
          <w:szCs w:val="24"/>
        </w:rPr>
        <w:t>cônjuges ou companheiros, bem como parentes em linha reta, colateral ou por afinidade, até o segundo grau;</w:t>
      </w:r>
    </w:p>
    <w:p w:rsidR="00E73C2E" w:rsidRDefault="00E73C2E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CF7DEB">
      <w:pPr>
        <w:pStyle w:val="Standard"/>
        <w:spacing w:line="360" w:lineRule="auto"/>
        <w:ind w:firstLine="567"/>
        <w:jc w:val="both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IX – </w:t>
      </w:r>
      <w:proofErr w:type="gramStart"/>
      <w:r>
        <w:rPr>
          <w:rFonts w:cs="Calibri"/>
          <w:color w:val="000000"/>
          <w:sz w:val="24"/>
          <w:szCs w:val="24"/>
        </w:rPr>
        <w:t>que</w:t>
      </w:r>
      <w:proofErr w:type="gramEnd"/>
      <w:r>
        <w:rPr>
          <w:rFonts w:cs="Calibri"/>
          <w:color w:val="000000"/>
          <w:sz w:val="24"/>
          <w:szCs w:val="24"/>
        </w:rPr>
        <w:t xml:space="preserve"> não serão remunerados, a qualquer título, com os recursos repassados</w:t>
      </w:r>
    </w:p>
    <w:p w:rsidR="00E73C2E" w:rsidRDefault="00E73C2E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CF7DEB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X – </w:t>
      </w:r>
      <w:proofErr w:type="gramStart"/>
      <w:r>
        <w:rPr>
          <w:rFonts w:cs="Calibri"/>
          <w:sz w:val="24"/>
          <w:szCs w:val="24"/>
        </w:rPr>
        <w:t>não</w:t>
      </w:r>
      <w:proofErr w:type="gramEnd"/>
      <w:r>
        <w:rPr>
          <w:rFonts w:cs="Calibri"/>
          <w:sz w:val="24"/>
          <w:szCs w:val="24"/>
        </w:rPr>
        <w:t xml:space="preserve"> emprega menor de dezoito anos em trabalho noturno, perigo</w:t>
      </w:r>
      <w:r>
        <w:rPr>
          <w:rFonts w:cs="Calibri"/>
          <w:sz w:val="24"/>
          <w:szCs w:val="24"/>
        </w:rPr>
        <w:t>so ou insalubre e não emprega menor de dezesseis anos em qualquer trabalho, salvo na condição de aprendiz a partir de 14 (quatorze) anos.</w:t>
      </w:r>
    </w:p>
    <w:p w:rsidR="00E73C2E" w:rsidRDefault="00E73C2E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CF7DEB">
      <w:pPr>
        <w:pStyle w:val="Standard"/>
        <w:spacing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Certifico que os dirigentes e conselheiros da referida OSC, cujo período de atuação é de ____/___/____ a </w:t>
      </w:r>
      <w:r>
        <w:rPr>
          <w:rFonts w:cs="Calibri"/>
          <w:sz w:val="24"/>
          <w:szCs w:val="24"/>
        </w:rPr>
        <w:t>____/____/______, são: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Presidente: ________________, CPF _________.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Vice-Presidente: ____________, CPF __________.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Conselheiro: _______________, CPF __________.</w:t>
      </w: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(Indicar todos).</w:t>
      </w:r>
    </w:p>
    <w:p w:rsidR="00E73C2E" w:rsidRDefault="00E73C2E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CF7DEB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Por ser expressão de verdade, sob as penas da lei, firmo a presente</w:t>
      </w:r>
      <w:r>
        <w:rPr>
          <w:rFonts w:cs="Calibri"/>
          <w:sz w:val="24"/>
          <w:szCs w:val="24"/>
        </w:rPr>
        <w:t xml:space="preserve"> declaração.</w:t>
      </w:r>
    </w:p>
    <w:p w:rsidR="00E73C2E" w:rsidRDefault="00E73C2E">
      <w:pPr>
        <w:pStyle w:val="padro"/>
        <w:spacing w:before="0"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E73C2E" w:rsidRDefault="00E73C2E">
      <w:pPr>
        <w:pStyle w:val="padro"/>
        <w:spacing w:before="0" w:after="0" w:line="360" w:lineRule="auto"/>
        <w:ind w:firstLine="567"/>
        <w:jc w:val="center"/>
        <w:rPr>
          <w:rFonts w:cs="Calibri"/>
          <w:sz w:val="24"/>
          <w:szCs w:val="24"/>
        </w:rPr>
      </w:pPr>
    </w:p>
    <w:p w:rsidR="00E73C2E" w:rsidRDefault="00CF7DEB">
      <w:pPr>
        <w:pStyle w:val="padro"/>
        <w:spacing w:before="0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Município de _______________, em _______ de _______________de 201__.</w:t>
      </w:r>
    </w:p>
    <w:p w:rsidR="00E73C2E" w:rsidRDefault="00E73C2E">
      <w:pPr>
        <w:pStyle w:val="padro"/>
        <w:spacing w:before="0" w:after="0" w:line="360" w:lineRule="auto"/>
        <w:jc w:val="center"/>
        <w:rPr>
          <w:rFonts w:cs="Calibri"/>
          <w:sz w:val="24"/>
          <w:szCs w:val="24"/>
        </w:rPr>
      </w:pPr>
    </w:p>
    <w:p w:rsidR="00E73C2E" w:rsidRDefault="00E73C2E">
      <w:pPr>
        <w:pStyle w:val="padro"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E73C2E" w:rsidRDefault="00CF7DEB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_______________________________</w:t>
      </w:r>
    </w:p>
    <w:p w:rsidR="00E73C2E" w:rsidRDefault="00CF7DEB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Assinatura, nome, CPF e firma reconhecida</w:t>
      </w:r>
    </w:p>
    <w:sectPr w:rsidR="00E73C2E">
      <w:headerReference w:type="default" r:id="rId7"/>
      <w:footerReference w:type="default" r:id="rId8"/>
      <w:pgSz w:w="11906" w:h="16838"/>
      <w:pgMar w:top="1588" w:right="850" w:bottom="102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EB" w:rsidRDefault="00CF7DEB">
      <w:r>
        <w:separator/>
      </w:r>
    </w:p>
  </w:endnote>
  <w:endnote w:type="continuationSeparator" w:id="0">
    <w:p w:rsidR="00CF7DEB" w:rsidRDefault="00C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6E" w:rsidRDefault="00CF7DEB">
    <w:pPr>
      <w:pStyle w:val="Standard"/>
      <w:jc w:val="right"/>
    </w:pP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PAGE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t>2</w:t>
    </w:r>
    <w:r>
      <w:rPr>
        <w:rFonts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EB" w:rsidRDefault="00CF7DEB">
      <w:r>
        <w:rPr>
          <w:color w:val="000000"/>
        </w:rPr>
        <w:separator/>
      </w:r>
    </w:p>
  </w:footnote>
  <w:footnote w:type="continuationSeparator" w:id="0">
    <w:p w:rsidR="00CF7DEB" w:rsidRDefault="00CF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6E" w:rsidRDefault="00CF7DEB">
    <w:pPr>
      <w:pStyle w:val="Cabealho"/>
      <w:jc w:val="center"/>
    </w:pPr>
  </w:p>
  <w:p w:rsidR="00C67F6E" w:rsidRDefault="00CF7DEB">
    <w:pPr>
      <w:pStyle w:val="Cabealho"/>
      <w:jc w:val="center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95A"/>
    <w:multiLevelType w:val="multilevel"/>
    <w:tmpl w:val="4956B7FC"/>
    <w:styleLink w:val="WW8Num25"/>
    <w:lvl w:ilvl="0">
      <w:start w:val="2"/>
      <w:numFmt w:val="lowerLetter"/>
      <w:lvlText w:val="%1)"/>
      <w:lvlJc w:val="left"/>
      <w:pPr>
        <w:ind w:left="108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F206E"/>
    <w:multiLevelType w:val="multilevel"/>
    <w:tmpl w:val="B20C12E4"/>
    <w:styleLink w:val="WW8Num9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E6B59E8"/>
    <w:multiLevelType w:val="multilevel"/>
    <w:tmpl w:val="ABCE6F1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3C2E"/>
    <w:rsid w:val="003D1418"/>
    <w:rsid w:val="00CF7DEB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FFE5-9446-46B2-8ADC-F18779F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Standard"/>
    <w:next w:val="Standard"/>
    <w:pPr>
      <w:keepNext/>
      <w:ind w:left="300"/>
      <w:outlineLvl w:val="6"/>
    </w:pPr>
    <w:rPr>
      <w:b/>
      <w:bCs/>
      <w:sz w:val="28"/>
      <w:szCs w:val="28"/>
      <w:u w:val="single"/>
    </w:rPr>
  </w:style>
  <w:style w:type="paragraph" w:styleId="Ttulo8">
    <w:name w:val="heading 8"/>
    <w:basedOn w:val="Standard"/>
    <w:next w:val="Standard"/>
    <w:pPr>
      <w:keepNext/>
      <w:ind w:left="300"/>
      <w:outlineLvl w:val="7"/>
    </w:pPr>
    <w:rPr>
      <w:b/>
      <w:bCs/>
      <w:i/>
      <w:iCs/>
      <w:sz w:val="28"/>
      <w:szCs w:val="28"/>
    </w:rPr>
  </w:style>
  <w:style w:type="paragraph" w:styleId="Ttulo9">
    <w:name w:val="heading 9"/>
    <w:basedOn w:val="Standard"/>
    <w:next w:val="Standard"/>
    <w:pPr>
      <w:keepNext/>
      <w:ind w:left="284" w:right="140" w:firstLine="2551"/>
      <w:jc w:val="both"/>
      <w:outlineLvl w:val="8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WW-Ttulo"/>
    <w:next w:val="Textbody"/>
    <w:uiPriority w:val="11"/>
    <w:qFormat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40">
    <w:name w:val="Título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Standard"/>
    <w:next w:val="Subttulo"/>
    <w:pPr>
      <w:jc w:val="center"/>
    </w:pPr>
    <w:rPr>
      <w:b/>
      <w:i/>
      <w:sz w:val="28"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pPr>
      <w:suppressLineNumbers/>
    </w:pPr>
    <w:rPr>
      <w:rFonts w:cs="Tahoma"/>
    </w:rPr>
  </w:style>
  <w:style w:type="paragraph" w:customStyle="1" w:styleId="WW-Ttulo11">
    <w:name w:val="WW-Título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pPr>
      <w:suppressLineNumbers/>
    </w:pPr>
    <w:rPr>
      <w:rFonts w:cs="Tahoma"/>
    </w:rPr>
  </w:style>
  <w:style w:type="paragraph" w:customStyle="1" w:styleId="WW-Ttulo111">
    <w:name w:val="WW-Título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pPr>
      <w:suppressLineNumbers/>
    </w:pPr>
    <w:rPr>
      <w:rFonts w:cs="Tahoma"/>
    </w:rPr>
  </w:style>
  <w:style w:type="paragraph" w:customStyle="1" w:styleId="WW-Ttulo1111">
    <w:name w:val="WW-Título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pPr>
      <w:suppressLineNumbers/>
    </w:pPr>
    <w:rPr>
      <w:rFonts w:cs="Tahoma"/>
    </w:rPr>
  </w:style>
  <w:style w:type="paragraph" w:customStyle="1" w:styleId="WW-Ttulo11111">
    <w:name w:val="WW-Título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Standard"/>
    <w:pPr>
      <w:suppressLineNumbers/>
      <w:spacing w:before="120" w:after="120"/>
    </w:pPr>
    <w:rPr>
      <w:i/>
    </w:rPr>
  </w:style>
  <w:style w:type="paragraph" w:customStyle="1" w:styleId="WW-ndice1111">
    <w:name w:val="WW-Índice1111"/>
    <w:basedOn w:val="Standard"/>
    <w:pPr>
      <w:suppressLineNumbers/>
    </w:pPr>
  </w:style>
  <w:style w:type="paragraph" w:customStyle="1" w:styleId="WW-Textoembloco">
    <w:name w:val="WW-Texto em bloco"/>
    <w:basedOn w:val="Standard"/>
    <w:pPr>
      <w:ind w:left="1134" w:right="-142" w:firstLine="2268"/>
      <w:jc w:val="both"/>
    </w:pPr>
    <w:rPr>
      <w:sz w:val="28"/>
    </w:rPr>
  </w:style>
  <w:style w:type="paragraph" w:customStyle="1" w:styleId="A140265">
    <w:name w:val="_A140265"/>
    <w:pPr>
      <w:suppressAutoHyphens/>
      <w:ind w:left="144" w:right="1440" w:firstLine="1728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WW-Estruturadodocumento">
    <w:name w:val="WW-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101075">
    <w:name w:val="_C101075"/>
    <w:pPr>
      <w:widowControl/>
      <w:suppressAutoHyphens/>
      <w:ind w:left="1296" w:firstLine="1"/>
      <w:jc w:val="center"/>
    </w:pPr>
    <w:rPr>
      <w:rFonts w:eastAsia="Arial" w:cs="Times New Roman"/>
      <w:color w:val="000000"/>
      <w:szCs w:val="20"/>
      <w:lang w:bidi="ar-SA"/>
    </w:rPr>
  </w:style>
  <w:style w:type="paragraph" w:customStyle="1" w:styleId="A424275">
    <w:name w:val="_A424275"/>
    <w:pPr>
      <w:widowControl/>
      <w:suppressAutoHyphens/>
      <w:ind w:left="5904" w:firstLine="1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Contedodamoldura">
    <w:name w:val="Conteúdo da moldura"/>
    <w:basedOn w:val="Textbody"/>
  </w:style>
  <w:style w:type="paragraph" w:customStyle="1" w:styleId="WW-Contedodamoldura">
    <w:name w:val="WW-Conteúdo da moldura"/>
    <w:basedOn w:val="Textbody"/>
  </w:style>
  <w:style w:type="paragraph" w:customStyle="1" w:styleId="WW-Contedodamoldura1">
    <w:name w:val="WW-Conteúdo da moldura1"/>
    <w:basedOn w:val="Textbody"/>
  </w:style>
  <w:style w:type="paragraph" w:customStyle="1" w:styleId="WW-Contedodamoldura11">
    <w:name w:val="WW-Conteúdo da moldura11"/>
    <w:basedOn w:val="Textbody"/>
  </w:style>
  <w:style w:type="paragraph" w:customStyle="1" w:styleId="WW-Contedodamoldura111">
    <w:name w:val="WW-Conteúdo da moldura111"/>
    <w:basedOn w:val="Textbody"/>
  </w:style>
  <w:style w:type="paragraph" w:customStyle="1" w:styleId="WW-Contedodamoldura1111">
    <w:name w:val="WW-Conteúdo da moldura1111"/>
    <w:basedOn w:val="Textbody"/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spacing w:line="200" w:lineRule="atLeast"/>
      <w:ind w:firstLine="2280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21">
    <w:name w:val="Recuo de corpo de texto 21"/>
    <w:basedOn w:val="Standard"/>
    <w:pPr>
      <w:spacing w:line="200" w:lineRule="atLeast"/>
      <w:ind w:firstLine="2268"/>
      <w:jc w:val="both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31">
    <w:name w:val="Recuo de corpo de texto 31"/>
    <w:basedOn w:val="Standard"/>
    <w:pPr>
      <w:tabs>
        <w:tab w:val="left" w:pos="9639"/>
      </w:tabs>
      <w:ind w:right="-1" w:firstLine="2268"/>
      <w:jc w:val="both"/>
    </w:pPr>
    <w:rPr>
      <w:rFonts w:ascii="Arial" w:eastAsia="HG Mincho Light J" w:hAnsi="Arial" w:cs="Arial"/>
      <w:color w:val="000000"/>
      <w:sz w:val="26"/>
      <w:szCs w:val="24"/>
    </w:rPr>
  </w:style>
  <w:style w:type="paragraph" w:customStyle="1" w:styleId="WW-Recuodecorpodetexto21">
    <w:name w:val="WW-Recuo de corpo de texto 21"/>
    <w:basedOn w:val="Standard"/>
    <w:pPr>
      <w:ind w:left="2410" w:hanging="142"/>
      <w:jc w:val="both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WW-Textoembloco1">
    <w:name w:val="WW-Texto em bloco1"/>
    <w:basedOn w:val="Standard"/>
    <w:pPr>
      <w:ind w:left="2977" w:right="140"/>
      <w:jc w:val="both"/>
    </w:pPr>
    <w:rPr>
      <w:b/>
      <w:i/>
      <w:iCs/>
      <w:sz w:val="28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data">
    <w:name w:val="data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comentplus">
    <w:name w:val="comentplus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nome">
    <w:name w:val="nome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Footnote">
    <w:name w:val="Footnote"/>
    <w:basedOn w:val="Standard"/>
    <w:pPr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Standard"/>
    <w:pPr>
      <w:suppressAutoHyphens w:val="0"/>
      <w:ind w:left="708"/>
    </w:pPr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widowControl/>
      <w:suppressAutoHyphens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padro">
    <w:name w:val="padro"/>
    <w:basedOn w:val="Standard"/>
    <w:pPr>
      <w:spacing w:before="280" w:after="28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1"/>
      <w:szCs w:val="21"/>
    </w:rPr>
  </w:style>
  <w:style w:type="character" w:customStyle="1" w:styleId="WW8Num3z0">
    <w:name w:val="WW8Num3z0"/>
    <w:rPr>
      <w:rFonts w:ascii="Calibri" w:eastAsia="Calibri" w:hAnsi="Calibri" w:cs="Calibri"/>
      <w:sz w:val="21"/>
      <w:szCs w:val="21"/>
      <w:lang w:eastAsia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Symbol" w:hAnsi="Symbol" w:cs="Symbol"/>
      <w:color w:val="auto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Fontepargpadro4">
    <w:name w:val="Fonte parág. padrão4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2">
    <w:name w:val="Fonte parág. padrã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Fontepargpadro11">
    <w:name w:val="WW-Fonte parág. padrão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-Fontepargpadro11111">
    <w:name w:val="WW-Fonte parág. padrão11111"/>
  </w:style>
  <w:style w:type="character" w:customStyle="1" w:styleId="WW-Fontepargpadro111111">
    <w:name w:val="WW-Fonte parág. padrão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Fontepargpadro1111111">
    <w:name w:val="WW-Fonte parág. padrão1111111"/>
  </w:style>
  <w:style w:type="character" w:customStyle="1" w:styleId="WW-Fontepargpadro11111111">
    <w:name w:val="WW-Fonte parág. padrão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Fontepargpadro111111111">
    <w:name w:val="WW-Fonte parág. padrão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Fontepargpadro1111111111">
    <w:name w:val="WW-Fonte parág. padrão1111111111"/>
  </w:style>
  <w:style w:type="character" w:customStyle="1" w:styleId="Internetlink">
    <w:name w:val="Internet link"/>
    <w:basedOn w:val="WW-Fontepargpadro1111111111"/>
    <w:rPr>
      <w:color w:val="0000FF"/>
      <w:u w:val="single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Smbolosdemarca">
    <w:name w:val="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">
    <w:name w:val="WW-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">
    <w:name w:val="WW-Símbolos de marca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">
    <w:name w:val="WW-Símbolos de marca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">
    <w:name w:val="WW-Símbolos de marca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">
    <w:name w:val="WW-Símbolos de marca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">
    <w:name w:val="WW-Símbolos de marca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">
    <w:name w:val="WW-Símbolos de marca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">
    <w:name w:val="WW-Símbolos de marca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">
    <w:name w:val="WW-Símbolos de marca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">
    <w:name w:val="WW-Símbolos de marca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">
    <w:name w:val="WW-Símbolos de marca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">
    <w:name w:val="WW-Símbolos de marca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">
    <w:name w:val="WW-Símbolos de marca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">
    <w:name w:val="WW-Símbolos de marca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">
    <w:name w:val="WW-Símbolos de marca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">
    <w:name w:val="WW-Símbolos de marca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">
    <w:name w:val="WW-Símbolos de marca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">
    <w:name w:val="WW-Símbolos de marca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">
    <w:name w:val="WW-Símbolos de marca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">
    <w:name w:val="WW-Símbolos de marca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">
    <w:name w:val="WW-Símbolos de marca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1">
    <w:name w:val="WW-Símbolos de marca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 w:val="0"/>
      <w:bCs w:val="0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Pr>
      <w:rFonts w:ascii="Calibri" w:eastAsia="Calibri" w:hAnsi="Calibri" w:cs="Calibri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0">
    <w:name w:val="WW8Num25z0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9">
    <w:name w:val="WW8Num9"/>
    <w:basedOn w:val="Semlista"/>
    <w:pPr>
      <w:numPr>
        <w:numId w:val="2"/>
      </w:numPr>
    </w:pPr>
  </w:style>
  <w:style w:type="numbering" w:customStyle="1" w:styleId="WW8Num25">
    <w:name w:val="WW8Num25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 PC</dc:creator>
  <cp:lastModifiedBy>MARLA</cp:lastModifiedBy>
  <cp:revision>2</cp:revision>
  <cp:lastPrinted>2017-01-19T14:58:00Z</cp:lastPrinted>
  <dcterms:created xsi:type="dcterms:W3CDTF">2018-11-21T19:12:00Z</dcterms:created>
  <dcterms:modified xsi:type="dcterms:W3CDTF">2018-11-21T19:12:00Z</dcterms:modified>
</cp:coreProperties>
</file>