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B8245" w14:textId="77777777" w:rsidR="00F01A84" w:rsidRDefault="00F01A84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1F7663" w14:textId="487D9A15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001/202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D6F40" w14:textId="19F95D33" w:rsidR="0017051C" w:rsidRDefault="0017051C" w:rsidP="0017051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treze dias do mês de março do presente ano reuniu-se na sala de reuniões da prefeitura municipal de Coronel Barros, as 14:00 horas em caráter ordinário, o conselho deliberativo do PREVCEL conforme lista de presença no livro ata. Primeiramente o presidente saudou e cumprimentou os demais presentes e já iniciou sua fala apresentado os dados </w:t>
      </w:r>
      <w:r w:rsidR="00F01A84">
        <w:rPr>
          <w:rFonts w:ascii="Times New Roman" w:hAnsi="Times New Roman" w:cs="Times New Roman"/>
          <w:sz w:val="24"/>
          <w:szCs w:val="24"/>
        </w:rPr>
        <w:t xml:space="preserve">analisados </w:t>
      </w:r>
      <w:r>
        <w:rPr>
          <w:rFonts w:ascii="Times New Roman" w:hAnsi="Times New Roman" w:cs="Times New Roman"/>
          <w:sz w:val="24"/>
          <w:szCs w:val="24"/>
        </w:rPr>
        <w:t>no comitê de investimentos quanto as alocações realizadas no mês de janeiro do presente ano. Neste mesmo viés, o mesmo apresentou aos conselheiros um relatório indivi</w:t>
      </w:r>
      <w:r w:rsidR="00F01A8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ual de atendimento aos requisitos mínimos dos conselheiros quanto as certificações, antecedentes criminais e formações</w:t>
      </w:r>
      <w:r w:rsidR="00F01A84">
        <w:rPr>
          <w:rFonts w:ascii="Times New Roman" w:hAnsi="Times New Roman" w:cs="Times New Roman"/>
          <w:sz w:val="24"/>
          <w:szCs w:val="24"/>
        </w:rPr>
        <w:t xml:space="preserve"> aos </w:t>
      </w:r>
      <w:r>
        <w:rPr>
          <w:rFonts w:ascii="Times New Roman" w:hAnsi="Times New Roman" w:cs="Times New Roman"/>
          <w:sz w:val="24"/>
          <w:szCs w:val="24"/>
        </w:rPr>
        <w:t>qu</w:t>
      </w:r>
      <w:r w:rsidR="00F01A84">
        <w:rPr>
          <w:rFonts w:ascii="Times New Roman" w:hAnsi="Times New Roman" w:cs="Times New Roman"/>
          <w:sz w:val="24"/>
          <w:szCs w:val="24"/>
        </w:rPr>
        <w:t>ais</w:t>
      </w:r>
      <w:r>
        <w:rPr>
          <w:rFonts w:ascii="Times New Roman" w:hAnsi="Times New Roman" w:cs="Times New Roman"/>
          <w:sz w:val="24"/>
          <w:szCs w:val="24"/>
        </w:rPr>
        <w:t xml:space="preserve"> estão cadastrados junto ao ministério da previdência social. </w:t>
      </w:r>
      <w:r w:rsidR="00757A57">
        <w:rPr>
          <w:rFonts w:ascii="Times New Roman" w:hAnsi="Times New Roman" w:cs="Times New Roman"/>
          <w:sz w:val="24"/>
          <w:szCs w:val="24"/>
        </w:rPr>
        <w:t xml:space="preserve">Na sequência </w:t>
      </w:r>
      <w:r>
        <w:rPr>
          <w:rFonts w:ascii="Times New Roman" w:hAnsi="Times New Roman" w:cs="Times New Roman"/>
          <w:sz w:val="24"/>
          <w:szCs w:val="24"/>
        </w:rPr>
        <w:t xml:space="preserve">Guilherme </w:t>
      </w:r>
      <w:r w:rsidR="00757A57">
        <w:rPr>
          <w:rFonts w:ascii="Times New Roman" w:hAnsi="Times New Roman" w:cs="Times New Roman"/>
          <w:sz w:val="24"/>
          <w:szCs w:val="24"/>
        </w:rPr>
        <w:t xml:space="preserve">apresente o modelo e instruções de preenchimento da autorização de </w:t>
      </w:r>
      <w:r w:rsidR="00F01A84">
        <w:rPr>
          <w:rFonts w:ascii="Times New Roman" w:hAnsi="Times New Roman" w:cs="Times New Roman"/>
          <w:sz w:val="24"/>
          <w:szCs w:val="24"/>
        </w:rPr>
        <w:t>A</w:t>
      </w:r>
      <w:r w:rsidR="00757A57">
        <w:rPr>
          <w:rFonts w:ascii="Times New Roman" w:hAnsi="Times New Roman" w:cs="Times New Roman"/>
          <w:sz w:val="24"/>
          <w:szCs w:val="24"/>
        </w:rPr>
        <w:t xml:space="preserve">plicação e Resgate – APR e informou que irá solicitar que sejam alterados as assinaturas do Marlon Fischer </w:t>
      </w:r>
      <w:r w:rsidR="0089345B">
        <w:rPr>
          <w:rFonts w:ascii="Times New Roman" w:hAnsi="Times New Roman" w:cs="Times New Roman"/>
          <w:sz w:val="24"/>
          <w:szCs w:val="24"/>
        </w:rPr>
        <w:t xml:space="preserve">para </w:t>
      </w:r>
      <w:r w:rsidR="00757A57">
        <w:rPr>
          <w:rFonts w:ascii="Times New Roman" w:hAnsi="Times New Roman" w:cs="Times New Roman"/>
          <w:sz w:val="24"/>
          <w:szCs w:val="24"/>
        </w:rPr>
        <w:t>proponente e Gestor e Débora</w:t>
      </w:r>
      <w:r w:rsidR="00A048E0" w:rsidRPr="00A048E0">
        <w:t xml:space="preserve"> </w:t>
      </w:r>
      <w:r w:rsidR="00A048E0" w:rsidRPr="00A048E0">
        <w:rPr>
          <w:rFonts w:ascii="Times New Roman" w:hAnsi="Times New Roman" w:cs="Times New Roman"/>
          <w:sz w:val="24"/>
          <w:szCs w:val="24"/>
        </w:rPr>
        <w:t>Taís Biguelini Lucca</w:t>
      </w:r>
      <w:r w:rsidR="00757A57">
        <w:rPr>
          <w:rFonts w:ascii="Times New Roman" w:hAnsi="Times New Roman" w:cs="Times New Roman"/>
          <w:sz w:val="24"/>
          <w:szCs w:val="24"/>
        </w:rPr>
        <w:t xml:space="preserve"> como responsável pela liquidação. </w:t>
      </w:r>
      <w:r w:rsidR="00A048E0">
        <w:rPr>
          <w:rFonts w:ascii="Times New Roman" w:hAnsi="Times New Roman" w:cs="Times New Roman"/>
          <w:sz w:val="24"/>
          <w:szCs w:val="24"/>
        </w:rPr>
        <w:t>Em seguida Gel</w:t>
      </w:r>
      <w:r w:rsidR="000765A7">
        <w:rPr>
          <w:rFonts w:ascii="Times New Roman" w:hAnsi="Times New Roman" w:cs="Times New Roman"/>
          <w:sz w:val="24"/>
          <w:szCs w:val="24"/>
        </w:rPr>
        <w:t>s</w:t>
      </w:r>
      <w:r w:rsidR="00A048E0">
        <w:rPr>
          <w:rFonts w:ascii="Times New Roman" w:hAnsi="Times New Roman" w:cs="Times New Roman"/>
          <w:sz w:val="24"/>
          <w:szCs w:val="24"/>
        </w:rPr>
        <w:t>on informou que no mês de fevereiro houve uma arrecadação de 203.653, 53 e uma despesa de $163</w:t>
      </w:r>
      <w:r w:rsidR="009E3A0B">
        <w:rPr>
          <w:rFonts w:ascii="Times New Roman" w:hAnsi="Times New Roman" w:cs="Times New Roman"/>
          <w:sz w:val="24"/>
          <w:szCs w:val="24"/>
        </w:rPr>
        <w:t>.589,02</w:t>
      </w:r>
      <w:r w:rsidR="0089345B">
        <w:rPr>
          <w:rFonts w:ascii="Times New Roman" w:hAnsi="Times New Roman" w:cs="Times New Roman"/>
          <w:sz w:val="24"/>
          <w:szCs w:val="24"/>
        </w:rPr>
        <w:t xml:space="preserve"> e</w:t>
      </w:r>
      <w:r w:rsidR="0089345B">
        <w:rPr>
          <w:rFonts w:ascii="Times New Roman" w:hAnsi="Times New Roman" w:cs="Times New Roman"/>
          <w:sz w:val="24"/>
          <w:szCs w:val="24"/>
        </w:rPr>
        <w:t xml:space="preserve">, </w:t>
      </w:r>
      <w:r w:rsidR="0089345B">
        <w:rPr>
          <w:rFonts w:ascii="Times New Roman" w:hAnsi="Times New Roman" w:cs="Times New Roman"/>
          <w:sz w:val="24"/>
          <w:szCs w:val="24"/>
        </w:rPr>
        <w:t xml:space="preserve">posteriormente </w:t>
      </w:r>
      <w:r w:rsidR="0089345B">
        <w:rPr>
          <w:rFonts w:ascii="Times New Roman" w:hAnsi="Times New Roman" w:cs="Times New Roman"/>
          <w:sz w:val="24"/>
          <w:szCs w:val="24"/>
        </w:rPr>
        <w:t xml:space="preserve">Etiane se manifestou </w:t>
      </w:r>
      <w:r w:rsidR="0089345B">
        <w:rPr>
          <w:rFonts w:ascii="Times New Roman" w:hAnsi="Times New Roman" w:cs="Times New Roman"/>
          <w:sz w:val="24"/>
          <w:szCs w:val="24"/>
        </w:rPr>
        <w:t xml:space="preserve">para apresentar </w:t>
      </w:r>
      <w:r w:rsidR="0089345B">
        <w:rPr>
          <w:rFonts w:ascii="Times New Roman" w:hAnsi="Times New Roman" w:cs="Times New Roman"/>
          <w:sz w:val="24"/>
          <w:szCs w:val="24"/>
        </w:rPr>
        <w:t xml:space="preserve">os rendimentos totais no valor de $4.955.955,34 e despesas totais de $1.959.392,43 para o ano de 2024. </w:t>
      </w:r>
      <w:r w:rsidR="0089345B">
        <w:rPr>
          <w:rFonts w:ascii="Times New Roman" w:hAnsi="Times New Roman" w:cs="Times New Roman"/>
          <w:sz w:val="24"/>
          <w:szCs w:val="24"/>
        </w:rPr>
        <w:t>Dando seguimento,</w:t>
      </w:r>
      <w:r w:rsidR="000765A7">
        <w:rPr>
          <w:rFonts w:ascii="Times New Roman" w:hAnsi="Times New Roman" w:cs="Times New Roman"/>
          <w:sz w:val="24"/>
          <w:szCs w:val="24"/>
        </w:rPr>
        <w:t xml:space="preserve"> </w:t>
      </w:r>
      <w:r w:rsidR="009E3A0B">
        <w:rPr>
          <w:rFonts w:ascii="Times New Roman" w:hAnsi="Times New Roman" w:cs="Times New Roman"/>
          <w:sz w:val="24"/>
          <w:szCs w:val="24"/>
        </w:rPr>
        <w:t>Guilherme pont</w:t>
      </w:r>
      <w:r w:rsidR="000765A7">
        <w:rPr>
          <w:rFonts w:ascii="Times New Roman" w:hAnsi="Times New Roman" w:cs="Times New Roman"/>
          <w:sz w:val="24"/>
          <w:szCs w:val="24"/>
        </w:rPr>
        <w:t>u</w:t>
      </w:r>
      <w:r w:rsidR="009E3A0B">
        <w:rPr>
          <w:rFonts w:ascii="Times New Roman" w:hAnsi="Times New Roman" w:cs="Times New Roman"/>
          <w:sz w:val="24"/>
          <w:szCs w:val="24"/>
        </w:rPr>
        <w:t>ou alguns detalhes no cálculo atuário enviado pela empresa Lumens ao qual aponta para um resultado superavitário de $587.945,02</w:t>
      </w:r>
      <w:r w:rsidR="00514C3D">
        <w:rPr>
          <w:rFonts w:ascii="Times New Roman" w:hAnsi="Times New Roman" w:cs="Times New Roman"/>
          <w:sz w:val="24"/>
          <w:szCs w:val="24"/>
        </w:rPr>
        <w:t xml:space="preserve"> no ano de 2024</w:t>
      </w:r>
      <w:r w:rsidR="009E3A0B">
        <w:rPr>
          <w:rFonts w:ascii="Times New Roman" w:hAnsi="Times New Roman" w:cs="Times New Roman"/>
          <w:sz w:val="24"/>
          <w:szCs w:val="24"/>
        </w:rPr>
        <w:t xml:space="preserve">, </w:t>
      </w:r>
      <w:r w:rsidR="0089345B">
        <w:rPr>
          <w:rFonts w:ascii="Times New Roman" w:hAnsi="Times New Roman" w:cs="Times New Roman"/>
          <w:sz w:val="24"/>
          <w:szCs w:val="24"/>
        </w:rPr>
        <w:t xml:space="preserve">e por isso </w:t>
      </w:r>
      <w:r w:rsidR="009E3A0B">
        <w:rPr>
          <w:rFonts w:ascii="Times New Roman" w:hAnsi="Times New Roman" w:cs="Times New Roman"/>
          <w:sz w:val="24"/>
          <w:szCs w:val="24"/>
        </w:rPr>
        <w:t xml:space="preserve">não </w:t>
      </w:r>
      <w:r w:rsidR="00514C3D">
        <w:rPr>
          <w:rFonts w:ascii="Times New Roman" w:hAnsi="Times New Roman" w:cs="Times New Roman"/>
          <w:sz w:val="24"/>
          <w:szCs w:val="24"/>
        </w:rPr>
        <w:t>have</w:t>
      </w:r>
      <w:r w:rsidR="0089345B">
        <w:rPr>
          <w:rFonts w:ascii="Times New Roman" w:hAnsi="Times New Roman" w:cs="Times New Roman"/>
          <w:sz w:val="24"/>
          <w:szCs w:val="24"/>
        </w:rPr>
        <w:t>ria</w:t>
      </w:r>
      <w:r w:rsidR="00514C3D">
        <w:rPr>
          <w:rFonts w:ascii="Times New Roman" w:hAnsi="Times New Roman" w:cs="Times New Roman"/>
          <w:sz w:val="24"/>
          <w:szCs w:val="24"/>
        </w:rPr>
        <w:t xml:space="preserve"> </w:t>
      </w:r>
      <w:r w:rsidR="009E3A0B">
        <w:rPr>
          <w:rFonts w:ascii="Times New Roman" w:hAnsi="Times New Roman" w:cs="Times New Roman"/>
          <w:sz w:val="24"/>
          <w:szCs w:val="24"/>
        </w:rPr>
        <w:t>necessidade de alteração no plano de amortização vigente, bem como sugeriu manter as alíquotas de contribuição em 14% para servidores e 14,</w:t>
      </w:r>
      <w:r w:rsidR="007F7004">
        <w:rPr>
          <w:rFonts w:ascii="Times New Roman" w:hAnsi="Times New Roman" w:cs="Times New Roman"/>
          <w:sz w:val="24"/>
          <w:szCs w:val="24"/>
        </w:rPr>
        <w:t>8</w:t>
      </w:r>
      <w:r w:rsidR="009E3A0B">
        <w:rPr>
          <w:rFonts w:ascii="Times New Roman" w:hAnsi="Times New Roman" w:cs="Times New Roman"/>
          <w:sz w:val="24"/>
          <w:szCs w:val="24"/>
        </w:rPr>
        <w:t xml:space="preserve"> para o ente</w:t>
      </w:r>
      <w:r w:rsidR="00D61D5E">
        <w:rPr>
          <w:rFonts w:ascii="Times New Roman" w:hAnsi="Times New Roman" w:cs="Times New Roman"/>
          <w:sz w:val="24"/>
          <w:szCs w:val="24"/>
        </w:rPr>
        <w:t xml:space="preserve"> e por </w:t>
      </w:r>
      <w:r w:rsidR="007F7004">
        <w:rPr>
          <w:rFonts w:ascii="Times New Roman" w:hAnsi="Times New Roman" w:cs="Times New Roman"/>
          <w:sz w:val="24"/>
          <w:szCs w:val="24"/>
        </w:rPr>
        <w:t>f</w:t>
      </w:r>
      <w:r w:rsidR="00D61D5E">
        <w:rPr>
          <w:rFonts w:ascii="Times New Roman" w:hAnsi="Times New Roman" w:cs="Times New Roman"/>
          <w:sz w:val="24"/>
          <w:szCs w:val="24"/>
        </w:rPr>
        <w:t>im, t</w:t>
      </w:r>
      <w:r w:rsidR="009E3A0B">
        <w:rPr>
          <w:rFonts w:ascii="Times New Roman" w:hAnsi="Times New Roman" w:cs="Times New Roman"/>
          <w:sz w:val="24"/>
          <w:szCs w:val="24"/>
        </w:rPr>
        <w:t>ambém traz que o índice de cobertura das provisões matemáticas</w:t>
      </w:r>
      <w:r w:rsidR="00D61D5E">
        <w:rPr>
          <w:rFonts w:ascii="Times New Roman" w:hAnsi="Times New Roman" w:cs="Times New Roman"/>
          <w:sz w:val="24"/>
          <w:szCs w:val="24"/>
        </w:rPr>
        <w:t xml:space="preserve"> apresentou</w:t>
      </w:r>
      <w:r w:rsidR="009E3A0B">
        <w:rPr>
          <w:rFonts w:ascii="Times New Roman" w:hAnsi="Times New Roman" w:cs="Times New Roman"/>
          <w:sz w:val="24"/>
          <w:szCs w:val="24"/>
        </w:rPr>
        <w:t xml:space="preserve"> </w:t>
      </w:r>
      <w:r w:rsidR="00D61D5E">
        <w:rPr>
          <w:rFonts w:ascii="Times New Roman" w:hAnsi="Times New Roman" w:cs="Times New Roman"/>
          <w:sz w:val="24"/>
          <w:szCs w:val="24"/>
        </w:rPr>
        <w:t xml:space="preserve">variação positiva de 5.05% </w:t>
      </w:r>
      <w:r w:rsidR="007F7004">
        <w:rPr>
          <w:rFonts w:ascii="Times New Roman" w:hAnsi="Times New Roman" w:cs="Times New Roman"/>
          <w:sz w:val="24"/>
          <w:szCs w:val="24"/>
        </w:rPr>
        <w:t>quando colocado em perspectivas</w:t>
      </w:r>
      <w:r w:rsidR="009E3A0B">
        <w:rPr>
          <w:rFonts w:ascii="Times New Roman" w:hAnsi="Times New Roman" w:cs="Times New Roman"/>
          <w:sz w:val="24"/>
          <w:szCs w:val="24"/>
        </w:rPr>
        <w:t xml:space="preserve"> </w:t>
      </w:r>
      <w:r w:rsidR="00D61D5E">
        <w:rPr>
          <w:rFonts w:ascii="Times New Roman" w:hAnsi="Times New Roman" w:cs="Times New Roman"/>
          <w:sz w:val="24"/>
          <w:szCs w:val="24"/>
        </w:rPr>
        <w:t xml:space="preserve">os três últimos. </w:t>
      </w:r>
      <w:r w:rsidR="0089345B">
        <w:rPr>
          <w:rFonts w:ascii="Times New Roman" w:hAnsi="Times New Roman" w:cs="Times New Roman"/>
          <w:sz w:val="24"/>
          <w:szCs w:val="24"/>
        </w:rPr>
        <w:t xml:space="preserve">Também </w:t>
      </w:r>
      <w:r w:rsidR="00D61D5E">
        <w:rPr>
          <w:rFonts w:ascii="Times New Roman" w:hAnsi="Times New Roman" w:cs="Times New Roman"/>
          <w:sz w:val="24"/>
          <w:szCs w:val="24"/>
        </w:rPr>
        <w:t>foi relatado s</w:t>
      </w:r>
      <w:r w:rsidR="00334BB5">
        <w:rPr>
          <w:rFonts w:ascii="Times New Roman" w:hAnsi="Times New Roman" w:cs="Times New Roman"/>
          <w:sz w:val="24"/>
          <w:szCs w:val="24"/>
        </w:rPr>
        <w:t>o</w:t>
      </w:r>
      <w:r w:rsidR="00D61D5E">
        <w:rPr>
          <w:rFonts w:ascii="Times New Roman" w:hAnsi="Times New Roman" w:cs="Times New Roman"/>
          <w:sz w:val="24"/>
          <w:szCs w:val="24"/>
        </w:rPr>
        <w:t>bre o</w:t>
      </w:r>
      <w:r w:rsidR="00334BB5">
        <w:rPr>
          <w:rFonts w:ascii="Times New Roman" w:hAnsi="Times New Roman" w:cs="Times New Roman"/>
          <w:sz w:val="24"/>
          <w:szCs w:val="24"/>
        </w:rPr>
        <w:t>s</w:t>
      </w:r>
      <w:r w:rsidR="00D61D5E">
        <w:rPr>
          <w:rFonts w:ascii="Times New Roman" w:hAnsi="Times New Roman" w:cs="Times New Roman"/>
          <w:sz w:val="24"/>
          <w:szCs w:val="24"/>
        </w:rPr>
        <w:t xml:space="preserve"> questioname</w:t>
      </w:r>
      <w:r w:rsidR="00334BB5">
        <w:rPr>
          <w:rFonts w:ascii="Times New Roman" w:hAnsi="Times New Roman" w:cs="Times New Roman"/>
          <w:sz w:val="24"/>
          <w:szCs w:val="24"/>
        </w:rPr>
        <w:t>n</w:t>
      </w:r>
      <w:r w:rsidR="00D61D5E">
        <w:rPr>
          <w:rFonts w:ascii="Times New Roman" w:hAnsi="Times New Roman" w:cs="Times New Roman"/>
          <w:sz w:val="24"/>
          <w:szCs w:val="24"/>
        </w:rPr>
        <w:t>to</w:t>
      </w:r>
      <w:r w:rsidR="00334BB5">
        <w:rPr>
          <w:rFonts w:ascii="Times New Roman" w:hAnsi="Times New Roman" w:cs="Times New Roman"/>
          <w:sz w:val="24"/>
          <w:szCs w:val="24"/>
        </w:rPr>
        <w:t>s</w:t>
      </w:r>
      <w:r w:rsidR="00D61D5E">
        <w:rPr>
          <w:rFonts w:ascii="Times New Roman" w:hAnsi="Times New Roman" w:cs="Times New Roman"/>
          <w:sz w:val="24"/>
          <w:szCs w:val="24"/>
        </w:rPr>
        <w:t xml:space="preserve"> </w:t>
      </w:r>
      <w:r w:rsidR="00334BB5">
        <w:rPr>
          <w:rFonts w:ascii="Times New Roman" w:hAnsi="Times New Roman" w:cs="Times New Roman"/>
          <w:sz w:val="24"/>
          <w:szCs w:val="24"/>
        </w:rPr>
        <w:t>realizados pelo Tribunal de contas quanto ao ART 42 da lei de LC 17/2024 quan</w:t>
      </w:r>
      <w:r w:rsidR="007F7004">
        <w:rPr>
          <w:rFonts w:ascii="Times New Roman" w:hAnsi="Times New Roman" w:cs="Times New Roman"/>
          <w:sz w:val="24"/>
          <w:szCs w:val="24"/>
        </w:rPr>
        <w:t>to a</w:t>
      </w:r>
      <w:r w:rsidR="00334BB5">
        <w:rPr>
          <w:rFonts w:ascii="Times New Roman" w:hAnsi="Times New Roman" w:cs="Times New Roman"/>
          <w:sz w:val="24"/>
          <w:szCs w:val="24"/>
        </w:rPr>
        <w:t xml:space="preserve"> não exigência de requisito</w:t>
      </w:r>
      <w:r w:rsidR="007F7004">
        <w:rPr>
          <w:rFonts w:ascii="Times New Roman" w:hAnsi="Times New Roman" w:cs="Times New Roman"/>
          <w:sz w:val="24"/>
          <w:szCs w:val="24"/>
        </w:rPr>
        <w:t>s</w:t>
      </w:r>
      <w:r w:rsidR="00A14301">
        <w:rPr>
          <w:rFonts w:ascii="Times New Roman" w:hAnsi="Times New Roman" w:cs="Times New Roman"/>
          <w:sz w:val="24"/>
          <w:szCs w:val="24"/>
        </w:rPr>
        <w:t xml:space="preserve"> como</w:t>
      </w:r>
      <w:r w:rsidR="00334BB5">
        <w:rPr>
          <w:rFonts w:ascii="Times New Roman" w:hAnsi="Times New Roman" w:cs="Times New Roman"/>
          <w:sz w:val="24"/>
          <w:szCs w:val="24"/>
        </w:rPr>
        <w:t xml:space="preserve">, </w:t>
      </w:r>
      <w:r w:rsidR="00334BB5" w:rsidRPr="00334BB5">
        <w:rPr>
          <w:rFonts w:ascii="Times New Roman" w:hAnsi="Times New Roman" w:cs="Times New Roman"/>
          <w:sz w:val="24"/>
          <w:szCs w:val="24"/>
        </w:rPr>
        <w:t>tempo de serviço público, tempo no cargo e/ou carreira, pontuação ou tempo de pedágio</w:t>
      </w:r>
      <w:r w:rsidR="00334BB5">
        <w:rPr>
          <w:rFonts w:ascii="Times New Roman" w:hAnsi="Times New Roman" w:cs="Times New Roman"/>
          <w:sz w:val="24"/>
          <w:szCs w:val="24"/>
        </w:rPr>
        <w:t>, além dos 15 anos de exposição a agentes nocivos.</w:t>
      </w:r>
      <w:r w:rsidR="00FB74A9">
        <w:rPr>
          <w:rFonts w:ascii="Times New Roman" w:hAnsi="Times New Roman" w:cs="Times New Roman"/>
          <w:sz w:val="24"/>
          <w:szCs w:val="24"/>
        </w:rPr>
        <w:t xml:space="preserve"> </w:t>
      </w:r>
      <w:r w:rsidR="00A14301">
        <w:rPr>
          <w:rFonts w:ascii="Times New Roman" w:hAnsi="Times New Roman" w:cs="Times New Roman"/>
          <w:sz w:val="24"/>
          <w:szCs w:val="24"/>
        </w:rPr>
        <w:t>E o o</w:t>
      </w:r>
      <w:r w:rsidR="00334BB5">
        <w:rPr>
          <w:rFonts w:ascii="Times New Roman" w:hAnsi="Times New Roman" w:cs="Times New Roman"/>
          <w:sz w:val="24"/>
          <w:szCs w:val="24"/>
        </w:rPr>
        <w:t xml:space="preserve">utro questionamento foi em relação </w:t>
      </w:r>
      <w:r w:rsidR="00FB74A9">
        <w:rPr>
          <w:rFonts w:ascii="Times New Roman" w:hAnsi="Times New Roman" w:cs="Times New Roman"/>
          <w:sz w:val="24"/>
          <w:szCs w:val="24"/>
        </w:rPr>
        <w:t xml:space="preserve">aos resultados e </w:t>
      </w:r>
      <w:r w:rsidR="00030C68">
        <w:rPr>
          <w:rFonts w:ascii="Times New Roman" w:hAnsi="Times New Roman" w:cs="Times New Roman"/>
          <w:sz w:val="24"/>
          <w:szCs w:val="24"/>
        </w:rPr>
        <w:t>demonstrações</w:t>
      </w:r>
      <w:r w:rsidR="00FB74A9">
        <w:rPr>
          <w:rFonts w:ascii="Times New Roman" w:hAnsi="Times New Roman" w:cs="Times New Roman"/>
          <w:sz w:val="24"/>
          <w:szCs w:val="24"/>
        </w:rPr>
        <w:t xml:space="preserve"> atuarias de 2023. Foi informado que ambos foram respondidos adequadamente com encaminhamento de alteração de Lei complementar para constar demais requisitos de aposentadores e que o executivo já havia tomado as devidas providências para sanar o déficit atuarial através de </w:t>
      </w:r>
      <w:r w:rsidR="00FB74A9">
        <w:rPr>
          <w:rFonts w:ascii="Times New Roman" w:hAnsi="Times New Roman" w:cs="Times New Roman"/>
          <w:sz w:val="24"/>
          <w:szCs w:val="24"/>
        </w:rPr>
        <w:lastRenderedPageBreak/>
        <w:t>plano de amortização com alíquotas suplementares. Se encaminhando ao final Guilherme informou que a conselheira Marla solicitou o afastamento do cargo em função de assumir cargo em comissão, bem como Guilherme sugeriu a presença do gestor como membro não votante neste conselho, sendo assim, o conselho aprovou o nome de Sinara</w:t>
      </w:r>
      <w:r w:rsidR="00030C68">
        <w:rPr>
          <w:rFonts w:ascii="Times New Roman" w:hAnsi="Times New Roman" w:cs="Times New Roman"/>
          <w:sz w:val="24"/>
          <w:szCs w:val="24"/>
        </w:rPr>
        <w:t xml:space="preserve">, servidora da câmara de vereadores, </w:t>
      </w:r>
      <w:r w:rsidR="00FB74A9">
        <w:rPr>
          <w:rFonts w:ascii="Times New Roman" w:hAnsi="Times New Roman" w:cs="Times New Roman"/>
          <w:sz w:val="24"/>
          <w:szCs w:val="24"/>
        </w:rPr>
        <w:t xml:space="preserve">para substituir Marla e Carlos A. Brendler para substituir Marlon. </w:t>
      </w:r>
      <w:r>
        <w:rPr>
          <w:rFonts w:ascii="Times New Roman" w:hAnsi="Times New Roman" w:cs="Times New Roman"/>
          <w:sz w:val="24"/>
          <w:szCs w:val="24"/>
        </w:rPr>
        <w:t xml:space="preserve">Por fim, Guilherme informou aos demais conselheiros </w:t>
      </w:r>
      <w:r w:rsidR="00030C68">
        <w:rPr>
          <w:rFonts w:ascii="Times New Roman" w:hAnsi="Times New Roman" w:cs="Times New Roman"/>
          <w:sz w:val="24"/>
          <w:szCs w:val="24"/>
        </w:rPr>
        <w:t>sobre o Seminário Sul -Brasileiro realizado pela AGIP, bem como preocupação com o orçamento anual visto os cursos e certificações que necessitam ser realizadas neste ano, desta forma, o conselho entendeu ser necessário priorizar participa</w:t>
      </w:r>
      <w:r w:rsidR="00A14301">
        <w:rPr>
          <w:rFonts w:ascii="Times New Roman" w:hAnsi="Times New Roman" w:cs="Times New Roman"/>
          <w:sz w:val="24"/>
          <w:szCs w:val="24"/>
        </w:rPr>
        <w:t xml:space="preserve">ção </w:t>
      </w:r>
      <w:r w:rsidR="00030C68">
        <w:rPr>
          <w:rFonts w:ascii="Times New Roman" w:hAnsi="Times New Roman" w:cs="Times New Roman"/>
          <w:sz w:val="24"/>
          <w:szCs w:val="24"/>
        </w:rPr>
        <w:t xml:space="preserve">do curso </w:t>
      </w:r>
      <w:r w:rsidR="00A14301">
        <w:rPr>
          <w:rFonts w:ascii="Times New Roman" w:hAnsi="Times New Roman" w:cs="Times New Roman"/>
          <w:sz w:val="24"/>
          <w:szCs w:val="24"/>
        </w:rPr>
        <w:t xml:space="preserve">de </w:t>
      </w:r>
      <w:r w:rsidR="00030C68">
        <w:rPr>
          <w:rFonts w:ascii="Times New Roman" w:hAnsi="Times New Roman" w:cs="Times New Roman"/>
          <w:sz w:val="24"/>
          <w:szCs w:val="24"/>
        </w:rPr>
        <w:t>até cinco conselheiros que já estejam certificados</w:t>
      </w:r>
      <w:r w:rsidR="00A14301">
        <w:rPr>
          <w:rFonts w:ascii="Times New Roman" w:hAnsi="Times New Roman" w:cs="Times New Roman"/>
          <w:sz w:val="24"/>
          <w:szCs w:val="24"/>
        </w:rPr>
        <w:t xml:space="preserve"> em função da agenda de pontuação para renovação da certificação por educação continuada</w:t>
      </w:r>
      <w:r>
        <w:rPr>
          <w:rFonts w:ascii="Times New Roman" w:hAnsi="Times New Roman" w:cs="Times New Roman"/>
          <w:sz w:val="24"/>
          <w:szCs w:val="24"/>
        </w:rPr>
        <w:t>. A próxima reunião ficou para o 1</w:t>
      </w:r>
      <w:r w:rsidR="00030C6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030C68">
        <w:rPr>
          <w:rFonts w:ascii="Times New Roman" w:hAnsi="Times New Roman" w:cs="Times New Roman"/>
          <w:sz w:val="24"/>
          <w:szCs w:val="24"/>
        </w:rPr>
        <w:t>abril 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030C6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p w14:paraId="6D9187CB" w14:textId="07CEE2F4" w:rsidR="00E6118D" w:rsidRDefault="00E6118D" w:rsidP="001705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06FF5" w14:textId="77777777" w:rsidR="00971CA3" w:rsidRDefault="00971CA3" w:rsidP="0035157C">
      <w:pPr>
        <w:spacing w:after="0" w:line="240" w:lineRule="auto"/>
      </w:pPr>
      <w:r>
        <w:separator/>
      </w:r>
    </w:p>
  </w:endnote>
  <w:endnote w:type="continuationSeparator" w:id="0">
    <w:p w14:paraId="6AA41611" w14:textId="77777777" w:rsidR="00971CA3" w:rsidRDefault="00971CA3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DCA15" w14:textId="77777777" w:rsidR="00971CA3" w:rsidRDefault="00971CA3" w:rsidP="0035157C">
      <w:pPr>
        <w:spacing w:after="0" w:line="240" w:lineRule="auto"/>
      </w:pPr>
      <w:r>
        <w:separator/>
      </w:r>
    </w:p>
  </w:footnote>
  <w:footnote w:type="continuationSeparator" w:id="0">
    <w:p w14:paraId="5B5C2D8E" w14:textId="77777777" w:rsidR="00971CA3" w:rsidRDefault="00971CA3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0E001C07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Conselho Municipal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30C68"/>
    <w:rsid w:val="000765A7"/>
    <w:rsid w:val="000C6723"/>
    <w:rsid w:val="000E0FC3"/>
    <w:rsid w:val="000F18DD"/>
    <w:rsid w:val="00165143"/>
    <w:rsid w:val="0017051C"/>
    <w:rsid w:val="001A1AD0"/>
    <w:rsid w:val="00215EA9"/>
    <w:rsid w:val="002771F6"/>
    <w:rsid w:val="00286A58"/>
    <w:rsid w:val="002A4381"/>
    <w:rsid w:val="002E3CEE"/>
    <w:rsid w:val="003025E9"/>
    <w:rsid w:val="003233F0"/>
    <w:rsid w:val="00334BB5"/>
    <w:rsid w:val="0035157C"/>
    <w:rsid w:val="003659A1"/>
    <w:rsid w:val="003E4F6A"/>
    <w:rsid w:val="003E785D"/>
    <w:rsid w:val="00445D00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8068F"/>
    <w:rsid w:val="005D40C8"/>
    <w:rsid w:val="006303B7"/>
    <w:rsid w:val="006517F8"/>
    <w:rsid w:val="00657B78"/>
    <w:rsid w:val="00757A57"/>
    <w:rsid w:val="007C328B"/>
    <w:rsid w:val="007F7004"/>
    <w:rsid w:val="0089345B"/>
    <w:rsid w:val="008A6B95"/>
    <w:rsid w:val="0096084C"/>
    <w:rsid w:val="00971CA3"/>
    <w:rsid w:val="009765E8"/>
    <w:rsid w:val="009953EF"/>
    <w:rsid w:val="009A7F2B"/>
    <w:rsid w:val="009C2375"/>
    <w:rsid w:val="009E10B7"/>
    <w:rsid w:val="009E3A0B"/>
    <w:rsid w:val="00A048E0"/>
    <w:rsid w:val="00A14301"/>
    <w:rsid w:val="00A242EE"/>
    <w:rsid w:val="00A6507F"/>
    <w:rsid w:val="00A83FE0"/>
    <w:rsid w:val="00B603DB"/>
    <w:rsid w:val="00B813D9"/>
    <w:rsid w:val="00BC62FC"/>
    <w:rsid w:val="00BF1DBC"/>
    <w:rsid w:val="00C04D6B"/>
    <w:rsid w:val="00C73F7E"/>
    <w:rsid w:val="00C914AC"/>
    <w:rsid w:val="00CD3E47"/>
    <w:rsid w:val="00D032B2"/>
    <w:rsid w:val="00D57AF9"/>
    <w:rsid w:val="00D61D5E"/>
    <w:rsid w:val="00E357B6"/>
    <w:rsid w:val="00E6118D"/>
    <w:rsid w:val="00E768CF"/>
    <w:rsid w:val="00E82AF1"/>
    <w:rsid w:val="00E97652"/>
    <w:rsid w:val="00F01A84"/>
    <w:rsid w:val="00F82357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552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12</cp:revision>
  <cp:lastPrinted>2025-04-11T12:05:00Z</cp:lastPrinted>
  <dcterms:created xsi:type="dcterms:W3CDTF">2024-04-11T12:49:00Z</dcterms:created>
  <dcterms:modified xsi:type="dcterms:W3CDTF">2025-04-11T14:39:00Z</dcterms:modified>
  <dc:language>pt-BR</dc:language>
</cp:coreProperties>
</file>